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015/2008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 o Regimento Escolar da Escola Municipal de Ensino Fundamental Carlos Antônio Wilkens.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Carlos Antônio Wilkens,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O Regimento Escolar atende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ressalvadas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Das 3 (três) vias originais do Regimento Escolar homologadas, uma fica  arquivada no Conselho Municipal de Educação e duas  serão enviadas à Secretaria Municipal de Educação,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Aprovado pela Comissão de Análise em 18 de julho de 2008.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